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EB2" w:rsidRDefault="005F6F3C" w:rsidP="00E76EB2">
      <w:pPr>
        <w:jc w:val="center"/>
        <w:rPr>
          <w:color w:val="1F497D" w:themeColor="text2"/>
        </w:rPr>
      </w:pPr>
      <w:r>
        <w:rPr>
          <w:noProof/>
          <w:color w:val="1F497D" w:themeColor="text2"/>
          <w:lang w:eastAsia="it-IT"/>
        </w:rPr>
        <w:pict>
          <v:roundrect id="AutoShape 2" o:spid="_x0000_s1026" style="position:absolute;left:0;text-align:left;margin-left:178.7pt;margin-top:-.1pt;width:144.75pt;height:42.75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" filled="f" strokecolor="#548dd4 [1951]" strokeweight="1.5pt"/>
        </w:pict>
      </w:r>
    </w:p>
    <w:p w:rsidR="00987408" w:rsidRPr="00683D42" w:rsidRDefault="00E76EB2" w:rsidP="00E76EB2">
      <w:pPr>
        <w:jc w:val="center"/>
        <w:rPr>
          <w:b/>
          <w:lang w:val="en-GB"/>
        </w:rPr>
      </w:pPr>
      <w:r w:rsidRPr="00683D42">
        <w:rPr>
          <w:b/>
          <w:lang w:val="en-GB"/>
        </w:rPr>
        <w:t>MOLAB User Report</w:t>
      </w:r>
    </w:p>
    <w:p w:rsidR="0009148F" w:rsidRPr="00683D42" w:rsidRDefault="0009148F" w:rsidP="0009148F">
      <w:pPr>
        <w:rPr>
          <w:lang w:val="en-GB"/>
        </w:rPr>
      </w:pPr>
    </w:p>
    <w:p w:rsidR="0009148F" w:rsidRPr="00683D42" w:rsidRDefault="0009148F" w:rsidP="0009148F">
      <w:pPr>
        <w:rPr>
          <w:lang w:val="en-GB"/>
        </w:rPr>
      </w:pPr>
    </w:p>
    <w:p w:rsidR="0009148F" w:rsidRPr="00683D42" w:rsidRDefault="0009148F" w:rsidP="0009148F">
      <w:pPr>
        <w:rPr>
          <w:lang w:val="en-GB"/>
        </w:rPr>
      </w:pPr>
    </w:p>
    <w:p w:rsidR="00683D42" w:rsidRPr="00683D42" w:rsidRDefault="00683D42" w:rsidP="00683D42">
      <w:pPr>
        <w:ind w:left="2268" w:hanging="2268"/>
        <w:rPr>
          <w:szCs w:val="24"/>
          <w:lang w:val="en-GB"/>
        </w:rPr>
      </w:pPr>
      <w:r w:rsidRPr="00683D42">
        <w:rPr>
          <w:b/>
          <w:szCs w:val="24"/>
          <w:lang w:val="en-GB"/>
        </w:rPr>
        <w:t xml:space="preserve">Project Title: </w:t>
      </w:r>
      <w:r w:rsidR="001710E1">
        <w:rPr>
          <w:b/>
          <w:szCs w:val="24"/>
          <w:lang w:val="en-GB"/>
        </w:rPr>
        <w:t>Revisiting cleaned acrylic paintings: 10 years on</w:t>
      </w:r>
    </w:p>
    <w:p w:rsidR="00683D42" w:rsidRPr="00683D42" w:rsidRDefault="00683D42" w:rsidP="00683D42">
      <w:pPr>
        <w:ind w:left="1985" w:hanging="1985"/>
        <w:rPr>
          <w:szCs w:val="24"/>
          <w:lang w:val="en-GB"/>
        </w:rPr>
      </w:pPr>
    </w:p>
    <w:p w:rsidR="00683D42" w:rsidRDefault="00683D42" w:rsidP="00683D42">
      <w:pPr>
        <w:rPr>
          <w:szCs w:val="24"/>
          <w:lang w:val="en-GB"/>
        </w:rPr>
      </w:pPr>
      <w:r w:rsidRPr="00683D42">
        <w:rPr>
          <w:b/>
          <w:szCs w:val="24"/>
          <w:lang w:val="en-GB"/>
        </w:rPr>
        <w:t>User Group Leader</w:t>
      </w:r>
      <w:r w:rsidR="0002030B">
        <w:rPr>
          <w:szCs w:val="24"/>
          <w:lang w:val="en-GB"/>
        </w:rPr>
        <w:t xml:space="preserve">: </w:t>
      </w:r>
      <w:r w:rsidR="001710E1">
        <w:rPr>
          <w:szCs w:val="24"/>
          <w:lang w:val="en-GB"/>
        </w:rPr>
        <w:t>Bronwyn Ormsby, Principal Conservation Scientist, TATE</w:t>
      </w:r>
    </w:p>
    <w:p w:rsidR="00C55E59" w:rsidRPr="00683D42" w:rsidRDefault="00C55E59" w:rsidP="00683D42">
      <w:pPr>
        <w:rPr>
          <w:szCs w:val="24"/>
          <w:lang w:val="en-GB"/>
        </w:rPr>
      </w:pPr>
    </w:p>
    <w:p w:rsidR="00683D42" w:rsidRPr="00683D42" w:rsidRDefault="00683D42" w:rsidP="00C55E59">
      <w:pPr>
        <w:ind w:left="851" w:hanging="851"/>
        <w:rPr>
          <w:szCs w:val="24"/>
          <w:lang w:val="en-GB"/>
        </w:rPr>
      </w:pPr>
      <w:r w:rsidRPr="00683D42">
        <w:rPr>
          <w:b/>
          <w:szCs w:val="24"/>
          <w:lang w:val="en-GB"/>
        </w:rPr>
        <w:t xml:space="preserve">Venue: </w:t>
      </w:r>
      <w:r w:rsidRPr="00683D42">
        <w:rPr>
          <w:b/>
          <w:szCs w:val="24"/>
          <w:lang w:val="en-GB"/>
        </w:rPr>
        <w:tab/>
      </w:r>
      <w:r w:rsidR="001710E1">
        <w:rPr>
          <w:b/>
          <w:szCs w:val="24"/>
          <w:lang w:val="en-GB"/>
        </w:rPr>
        <w:t>TATE, London, UK</w:t>
      </w:r>
    </w:p>
    <w:p w:rsidR="00683D42" w:rsidRPr="00137FEF" w:rsidRDefault="00683D42" w:rsidP="00683D42">
      <w:pPr>
        <w:rPr>
          <w:szCs w:val="24"/>
          <w:lang w:val="en-GB"/>
        </w:rPr>
      </w:pPr>
    </w:p>
    <w:p w:rsidR="0009148F" w:rsidRPr="00C55E59" w:rsidRDefault="00C55E59" w:rsidP="0009148F">
      <w:pPr>
        <w:rPr>
          <w:i/>
          <w:lang w:val="en-GB"/>
        </w:rPr>
      </w:pPr>
      <w:r w:rsidRPr="00C55E59">
        <w:rPr>
          <w:b/>
          <w:lang w:val="en-GB"/>
        </w:rPr>
        <w:t xml:space="preserve">Report text: </w:t>
      </w:r>
      <w:r w:rsidRPr="00C55E59">
        <w:rPr>
          <w:i/>
          <w:lang w:val="en-GB"/>
        </w:rPr>
        <w:t>1-2pages (This report will be made public)</w:t>
      </w:r>
    </w:p>
    <w:p w:rsidR="0009148F" w:rsidRPr="00683D42" w:rsidRDefault="0009148F" w:rsidP="0009148F">
      <w:pPr>
        <w:rPr>
          <w:lang w:val="en-GB"/>
        </w:rPr>
      </w:pPr>
    </w:p>
    <w:p w:rsidR="005F3545" w:rsidRDefault="001710E1" w:rsidP="0009148F">
      <w:pPr>
        <w:rPr>
          <w:lang w:val="en-GB"/>
        </w:rPr>
      </w:pPr>
      <w:r>
        <w:rPr>
          <w:lang w:val="en-GB"/>
        </w:rPr>
        <w:t xml:space="preserve">In order to inform ongoing investigations into the effects of wet cleaning treatments carried out on acrylic </w:t>
      </w:r>
      <w:r w:rsidR="00E460BD">
        <w:rPr>
          <w:lang w:val="en-GB"/>
        </w:rPr>
        <w:t xml:space="preserve">emulsion </w:t>
      </w:r>
      <w:r>
        <w:rPr>
          <w:lang w:val="en-GB"/>
        </w:rPr>
        <w:t>paintings, an application was made to MOLAB</w:t>
      </w:r>
      <w:r w:rsidR="00F172DE">
        <w:rPr>
          <w:lang w:val="en-GB"/>
        </w:rPr>
        <w:t xml:space="preserve"> in 2019</w:t>
      </w:r>
      <w:r>
        <w:rPr>
          <w:lang w:val="en-GB"/>
        </w:rPr>
        <w:t xml:space="preserve"> for the use of mid-IR reflectance spectroscopy to assess the surfaces of 4 acrylic paintings dating from the 1960s and 1970s belonging to Tate’s collection. Three of the paintings; Alexander Liberman’s </w:t>
      </w:r>
      <w:r w:rsidRPr="001710E1">
        <w:rPr>
          <w:i/>
          <w:lang w:val="en-GB"/>
        </w:rPr>
        <w:t>Andromeda</w:t>
      </w:r>
      <w:r>
        <w:rPr>
          <w:lang w:val="en-GB"/>
        </w:rPr>
        <w:t>,</w:t>
      </w:r>
      <w:r>
        <w:rPr>
          <w:rStyle w:val="Rimandonotaapidipagina"/>
          <w:lang w:val="en-GB"/>
        </w:rPr>
        <w:footnoteReference w:id="2"/>
      </w:r>
      <w:r>
        <w:rPr>
          <w:lang w:val="en-GB"/>
        </w:rPr>
        <w:t xml:space="preserve"> 1962, (Tate, T00650); Jeremy Moon’s </w:t>
      </w:r>
      <w:r w:rsidRPr="00A8342A">
        <w:rPr>
          <w:i/>
          <w:lang w:val="en-GB"/>
        </w:rPr>
        <w:t>Untitled 2/72</w:t>
      </w:r>
      <w:r w:rsidR="00A8342A">
        <w:rPr>
          <w:rStyle w:val="Rimandonotaapidipagina"/>
          <w:i/>
          <w:lang w:val="en-GB"/>
        </w:rPr>
        <w:footnoteReference w:id="3"/>
      </w:r>
      <w:r>
        <w:rPr>
          <w:lang w:val="en-GB"/>
        </w:rPr>
        <w:t>, 197</w:t>
      </w:r>
      <w:r w:rsidR="00A8342A">
        <w:rPr>
          <w:lang w:val="en-GB"/>
        </w:rPr>
        <w:t>2</w:t>
      </w:r>
      <w:r>
        <w:rPr>
          <w:lang w:val="en-GB"/>
        </w:rPr>
        <w:t xml:space="preserve"> (Tate, T02052) and John Hoyland’s</w:t>
      </w:r>
      <w:r w:rsidRPr="00A8342A">
        <w:rPr>
          <w:i/>
          <w:lang w:val="en-GB"/>
        </w:rPr>
        <w:t>25.4.69</w:t>
      </w:r>
      <w:r>
        <w:rPr>
          <w:lang w:val="en-GB"/>
        </w:rPr>
        <w:t>,</w:t>
      </w:r>
      <w:r w:rsidR="00A8342A">
        <w:rPr>
          <w:rStyle w:val="Rimandonotaapidipagina"/>
          <w:lang w:val="en-GB"/>
        </w:rPr>
        <w:footnoteReference w:id="4"/>
      </w:r>
      <w:r>
        <w:rPr>
          <w:lang w:val="en-GB"/>
        </w:rPr>
        <w:t xml:space="preserve"> 1969 (Tate, T01129) had been</w:t>
      </w:r>
      <w:r w:rsidR="00A8342A">
        <w:rPr>
          <w:lang w:val="en-GB"/>
        </w:rPr>
        <w:t xml:space="preserve"> aqueous</w:t>
      </w:r>
      <w:r>
        <w:rPr>
          <w:lang w:val="en-GB"/>
        </w:rPr>
        <w:t xml:space="preserve"> wet cleaned as part of the Tate AXA Art Modern Paints Project</w:t>
      </w:r>
      <w:r w:rsidR="005F3545">
        <w:rPr>
          <w:rStyle w:val="Rimandonotaapidipagina"/>
          <w:lang w:val="en-GB"/>
        </w:rPr>
        <w:footnoteReference w:id="5"/>
      </w:r>
      <w:r>
        <w:rPr>
          <w:lang w:val="en-GB"/>
        </w:rPr>
        <w:t xml:space="preserve"> in 2007-8. </w:t>
      </w:r>
      <w:r w:rsidR="00A8342A">
        <w:rPr>
          <w:lang w:val="en-GB"/>
        </w:rPr>
        <w:t>A fourth painting, Hoyland’s</w:t>
      </w:r>
      <w:r w:rsidR="00A8342A" w:rsidRPr="00A8342A">
        <w:rPr>
          <w:i/>
          <w:lang w:val="en-GB"/>
        </w:rPr>
        <w:t>11.7.64</w:t>
      </w:r>
      <w:r w:rsidR="00A8342A">
        <w:rPr>
          <w:lang w:val="en-GB"/>
        </w:rPr>
        <w:t>,</w:t>
      </w:r>
      <w:r w:rsidR="00A8342A">
        <w:rPr>
          <w:rStyle w:val="Rimandonotaapidipagina"/>
          <w:lang w:val="en-GB"/>
        </w:rPr>
        <w:footnoteReference w:id="6"/>
      </w:r>
      <w:r w:rsidR="00A8342A">
        <w:rPr>
          <w:lang w:val="en-GB"/>
        </w:rPr>
        <w:t xml:space="preserve"> 1964 (Tate, T14174) was also examined</w:t>
      </w:r>
      <w:r w:rsidR="005F3545">
        <w:rPr>
          <w:lang w:val="en-GB"/>
        </w:rPr>
        <w:t xml:space="preserve"> in 2019</w:t>
      </w:r>
      <w:r w:rsidR="00A8342A">
        <w:rPr>
          <w:lang w:val="en-GB"/>
        </w:rPr>
        <w:t xml:space="preserve"> as an example of a significantearly acrylic painting</w:t>
      </w:r>
      <w:r w:rsidR="005F3545">
        <w:rPr>
          <w:lang w:val="en-GB"/>
        </w:rPr>
        <w:t>, recently acquired into</w:t>
      </w:r>
      <w:r w:rsidR="00A8342A">
        <w:rPr>
          <w:lang w:val="en-GB"/>
        </w:rPr>
        <w:t xml:space="preserve"> Tate’s collection.The aim of the </w:t>
      </w:r>
      <w:r w:rsidR="005F3545">
        <w:rPr>
          <w:lang w:val="en-GB"/>
        </w:rPr>
        <w:t xml:space="preserve">2019 </w:t>
      </w:r>
      <w:r w:rsidR="00A8342A">
        <w:rPr>
          <w:lang w:val="en-GB"/>
        </w:rPr>
        <w:t xml:space="preserve">visit was to </w:t>
      </w:r>
      <w:r w:rsidR="005F3545">
        <w:rPr>
          <w:lang w:val="en-GB"/>
        </w:rPr>
        <w:t>(re)</w:t>
      </w:r>
      <w:r w:rsidR="00A8342A">
        <w:rPr>
          <w:lang w:val="en-GB"/>
        </w:rPr>
        <w:t xml:space="preserve">assess the surfaces of these paintings for the absence/presence of migrated surfactant on each of the works, </w:t>
      </w:r>
      <w:r w:rsidR="005F3545">
        <w:rPr>
          <w:lang w:val="en-GB"/>
        </w:rPr>
        <w:t>largely characterised as the</w:t>
      </w:r>
      <w:r w:rsidR="00A96AB3">
        <w:rPr>
          <w:lang w:val="en-GB"/>
        </w:rPr>
        <w:t xml:space="preserve"> </w:t>
      </w:r>
      <w:r w:rsidR="00A8342A">
        <w:rPr>
          <w:lang w:val="en-GB"/>
        </w:rPr>
        <w:t>non</w:t>
      </w:r>
      <w:r w:rsidR="00A96AB3">
        <w:rPr>
          <w:lang w:val="en-GB"/>
        </w:rPr>
        <w:t xml:space="preserve"> </w:t>
      </w:r>
      <w:r w:rsidR="00A8342A">
        <w:rPr>
          <w:lang w:val="en-GB"/>
        </w:rPr>
        <w:t>ionic APEO (alkylphen</w:t>
      </w:r>
      <w:r w:rsidR="008B0A65">
        <w:rPr>
          <w:lang w:val="en-GB"/>
        </w:rPr>
        <w:t>o</w:t>
      </w:r>
      <w:r w:rsidR="00A8342A">
        <w:rPr>
          <w:lang w:val="en-GB"/>
        </w:rPr>
        <w:t xml:space="preserve">leyhoxylate) surfactants Triton X-305 and X-405.  </w:t>
      </w:r>
    </w:p>
    <w:p w:rsidR="005F3545" w:rsidRDefault="005F3545" w:rsidP="0009148F">
      <w:pPr>
        <w:rPr>
          <w:lang w:val="en-GB"/>
        </w:rPr>
      </w:pPr>
    </w:p>
    <w:p w:rsidR="00BE0754" w:rsidRDefault="005F3545" w:rsidP="0009148F">
      <w:pPr>
        <w:rPr>
          <w:lang w:val="en-GB"/>
        </w:rPr>
      </w:pPr>
      <w:r>
        <w:rPr>
          <w:lang w:val="en-GB"/>
        </w:rPr>
        <w:t xml:space="preserve">In 2007, the MOLAB team visited Tate and assessed the surfaces of Liberman’s </w:t>
      </w:r>
      <w:r w:rsidRPr="005F3545">
        <w:rPr>
          <w:i/>
          <w:lang w:val="en-GB"/>
        </w:rPr>
        <w:t xml:space="preserve">Andromeda </w:t>
      </w:r>
      <w:r>
        <w:rPr>
          <w:lang w:val="en-GB"/>
        </w:rPr>
        <w:t>and Hoyland</w:t>
      </w:r>
      <w:r w:rsidRPr="005F3545">
        <w:rPr>
          <w:i/>
          <w:lang w:val="en-GB"/>
        </w:rPr>
        <w:t>25.4.6</w:t>
      </w:r>
      <w:r>
        <w:rPr>
          <w:i/>
          <w:lang w:val="en-GB"/>
        </w:rPr>
        <w:t>9</w:t>
      </w:r>
      <w:r w:rsidR="00073663">
        <w:rPr>
          <w:lang w:val="en-GB"/>
        </w:rPr>
        <w:t>using portable mid-IR reflecta</w:t>
      </w:r>
      <w:bookmarkStart w:id="0" w:name="_GoBack"/>
      <w:bookmarkEnd w:id="0"/>
      <w:r w:rsidR="00073663">
        <w:rPr>
          <w:lang w:val="en-GB"/>
        </w:rPr>
        <w:t xml:space="preserve">nce spectroscopy and AFM, </w:t>
      </w:r>
      <w:r>
        <w:rPr>
          <w:lang w:val="en-GB"/>
        </w:rPr>
        <w:t xml:space="preserve">prior to conservation treatment. </w:t>
      </w:r>
      <w:r w:rsidR="00E460BD">
        <w:rPr>
          <w:lang w:val="en-GB"/>
        </w:rPr>
        <w:t xml:space="preserve">This was the very first time the surfaces of acrylic paintings had been assessed for </w:t>
      </w:r>
      <w:r w:rsidR="00C8712F">
        <w:rPr>
          <w:lang w:val="en-GB"/>
        </w:rPr>
        <w:t xml:space="preserve">their </w:t>
      </w:r>
      <w:r w:rsidR="00E460BD">
        <w:rPr>
          <w:lang w:val="en-GB"/>
        </w:rPr>
        <w:t xml:space="preserve">surface character. </w:t>
      </w:r>
      <w:r>
        <w:rPr>
          <w:lang w:val="en-GB"/>
        </w:rPr>
        <w:t xml:space="preserve">On both </w:t>
      </w:r>
      <w:r w:rsidR="00C8712F">
        <w:rPr>
          <w:lang w:val="en-GB"/>
        </w:rPr>
        <w:t xml:space="preserve">of these </w:t>
      </w:r>
      <w:r>
        <w:rPr>
          <w:lang w:val="en-GB"/>
        </w:rPr>
        <w:t>paintings, surfactant was found to be present on thicker paint passages (e.g. palette knife applied areas) and on colours that did not contain cadmium pigments.</w:t>
      </w:r>
      <w:r>
        <w:rPr>
          <w:rStyle w:val="Rimandonotaapidipagina"/>
          <w:lang w:val="en-GB"/>
        </w:rPr>
        <w:footnoteReference w:id="7"/>
      </w:r>
      <w:r w:rsidRPr="005F3545">
        <w:rPr>
          <w:vertAlign w:val="superscript"/>
          <w:lang w:val="en-GB"/>
        </w:rPr>
        <w:t>,</w:t>
      </w:r>
      <w:r>
        <w:rPr>
          <w:rStyle w:val="Rimandonotaapidipagina"/>
          <w:lang w:val="en-GB"/>
        </w:rPr>
        <w:footnoteReference w:id="8"/>
      </w:r>
      <w:r>
        <w:rPr>
          <w:lang w:val="en-GB"/>
        </w:rPr>
        <w:t xml:space="preserve"> During that visit, cleaning tests were also carried out on discrete areas with water and with a non-polar mineral spirit solvent</w:t>
      </w:r>
      <w:r w:rsidR="00BE0754">
        <w:rPr>
          <w:lang w:val="en-GB"/>
        </w:rPr>
        <w:t xml:space="preserve">, which showed that the use of swabbed deionised water removed all detectable surfactant, and that use of non-polar mineral spirits facilitated the retention of the bulk of the migrated </w:t>
      </w:r>
      <w:r w:rsidR="00BE0754">
        <w:rPr>
          <w:lang w:val="en-GB"/>
        </w:rPr>
        <w:lastRenderedPageBreak/>
        <w:t>surfactant</w:t>
      </w:r>
      <w:r w:rsidR="00C8712F">
        <w:rPr>
          <w:lang w:val="en-GB"/>
        </w:rPr>
        <w:t>, but did not offer effective soiling removal</w:t>
      </w:r>
      <w:r w:rsidR="00BE0754">
        <w:rPr>
          <w:lang w:val="en-GB"/>
        </w:rPr>
        <w:t>. The paintings were subsequently cleaned following a rigorous methodology using pH adjusted (using ammonium hydroxide) water between pH 6-7.5, with up to 2</w:t>
      </w:r>
      <w:r w:rsidR="00C8712F">
        <w:rPr>
          <w:lang w:val="en-GB"/>
        </w:rPr>
        <w:t>%</w:t>
      </w:r>
      <w:r w:rsidR="00BE0754">
        <w:rPr>
          <w:lang w:val="en-GB"/>
        </w:rPr>
        <w:t xml:space="preserve"> v/v. added ethanol. It was assumed from the</w:t>
      </w:r>
      <w:r w:rsidR="00C8712F">
        <w:rPr>
          <w:lang w:val="en-GB"/>
        </w:rPr>
        <w:t xml:space="preserve"> limited assessments</w:t>
      </w:r>
      <w:r w:rsidR="00BE0754">
        <w:rPr>
          <w:lang w:val="en-GB"/>
        </w:rPr>
        <w:t xml:space="preserve"> carried out on the paintings in 2007 using ESI-MS and the MOLAB IR system, that any migrated surfactant present on these paintings </w:t>
      </w:r>
      <w:r w:rsidR="00E460BD">
        <w:rPr>
          <w:lang w:val="en-GB"/>
        </w:rPr>
        <w:t>w</w:t>
      </w:r>
      <w:r w:rsidR="00C8712F">
        <w:rPr>
          <w:lang w:val="en-GB"/>
        </w:rPr>
        <w:t>ould have been</w:t>
      </w:r>
      <w:r w:rsidR="00BE0754">
        <w:rPr>
          <w:lang w:val="en-GB"/>
        </w:rPr>
        <w:t xml:space="preserve"> removed by the aqueous-based cleaning treatments</w:t>
      </w:r>
      <w:r w:rsidR="00C8712F">
        <w:rPr>
          <w:lang w:val="en-GB"/>
        </w:rPr>
        <w:t>. This</w:t>
      </w:r>
      <w:r w:rsidR="004F1DCF">
        <w:rPr>
          <w:lang w:val="en-GB"/>
        </w:rPr>
        <w:t xml:space="preserve"> was </w:t>
      </w:r>
      <w:r w:rsidR="00C8712F">
        <w:rPr>
          <w:lang w:val="en-GB"/>
        </w:rPr>
        <w:t>considered</w:t>
      </w:r>
      <w:r w:rsidR="004F1DCF">
        <w:rPr>
          <w:lang w:val="en-GB"/>
        </w:rPr>
        <w:t>a</w:t>
      </w:r>
      <w:r w:rsidR="00C8712F">
        <w:rPr>
          <w:lang w:val="en-GB"/>
        </w:rPr>
        <w:t>n acceptable</w:t>
      </w:r>
      <w:r w:rsidR="004F1DCF">
        <w:rPr>
          <w:lang w:val="en-GB"/>
        </w:rPr>
        <w:t xml:space="preserve"> consequence of the </w:t>
      </w:r>
      <w:r w:rsidR="00E460BD">
        <w:rPr>
          <w:lang w:val="en-GB"/>
        </w:rPr>
        <w:t>removal of the significant</w:t>
      </w:r>
      <w:r w:rsidR="004F1DCF">
        <w:rPr>
          <w:lang w:val="en-GB"/>
        </w:rPr>
        <w:t xml:space="preserve"> accumulated soiling, scuffs and marks. </w:t>
      </w:r>
    </w:p>
    <w:p w:rsidR="00E460BD" w:rsidRDefault="00E460BD" w:rsidP="0009148F">
      <w:pPr>
        <w:rPr>
          <w:lang w:val="en-GB"/>
        </w:rPr>
      </w:pPr>
    </w:p>
    <w:p w:rsidR="00BE0754" w:rsidRDefault="00E460BD" w:rsidP="0009148F">
      <w:pPr>
        <w:rPr>
          <w:lang w:val="en-GB"/>
        </w:rPr>
      </w:pPr>
      <w:r>
        <w:rPr>
          <w:lang w:val="en-GB"/>
        </w:rPr>
        <w:t xml:space="preserve">The 2019 application </w:t>
      </w:r>
      <w:r w:rsidR="00C8712F">
        <w:rPr>
          <w:lang w:val="en-GB"/>
        </w:rPr>
        <w:t>centred</w:t>
      </w:r>
      <w:r>
        <w:rPr>
          <w:lang w:val="en-GB"/>
        </w:rPr>
        <w:t xml:space="preserve"> around revisiting these paintings more than 10 years later to assess whether surfactant was </w:t>
      </w:r>
      <w:r w:rsidR="00C8712F">
        <w:rPr>
          <w:lang w:val="en-GB"/>
        </w:rPr>
        <w:t xml:space="preserve">now </w:t>
      </w:r>
      <w:r>
        <w:rPr>
          <w:lang w:val="en-GB"/>
        </w:rPr>
        <w:t>detectable</w:t>
      </w:r>
      <w:r w:rsidR="00C8712F">
        <w:rPr>
          <w:lang w:val="en-GB"/>
        </w:rPr>
        <w:t xml:space="preserve"> (or not)</w:t>
      </w:r>
      <w:r>
        <w:rPr>
          <w:lang w:val="en-GB"/>
        </w:rPr>
        <w:t xml:space="preserve"> on any of the works; </w:t>
      </w:r>
      <w:r w:rsidR="00C8712F">
        <w:rPr>
          <w:lang w:val="en-GB"/>
        </w:rPr>
        <w:t>which</w:t>
      </w:r>
      <w:r>
        <w:rPr>
          <w:lang w:val="en-GB"/>
        </w:rPr>
        <w:t xml:space="preserve"> would indicate that the surfactant remigration process (from the bulk paint film to the surface) had begun. Interestingly, no surfactant was detected on any of the three aqueous cleaned paintings, except for two</w:t>
      </w:r>
      <w:r w:rsidR="004B4C44">
        <w:rPr>
          <w:lang w:val="en-GB"/>
        </w:rPr>
        <w:t xml:space="preserve"> tiny</w:t>
      </w:r>
      <w:r>
        <w:rPr>
          <w:lang w:val="en-GB"/>
        </w:rPr>
        <w:t>areas of Hoyland’s</w:t>
      </w:r>
      <w:r w:rsidRPr="00E460BD">
        <w:rPr>
          <w:i/>
          <w:lang w:val="en-GB"/>
        </w:rPr>
        <w:t>25.4.69</w:t>
      </w:r>
      <w:r>
        <w:rPr>
          <w:lang w:val="en-GB"/>
        </w:rPr>
        <w:t xml:space="preserve"> where surfactant had been retained </w:t>
      </w:r>
      <w:r w:rsidR="00C8712F">
        <w:rPr>
          <w:lang w:val="en-GB"/>
        </w:rPr>
        <w:t>within</w:t>
      </w:r>
      <w:r>
        <w:rPr>
          <w:lang w:val="en-GB"/>
        </w:rPr>
        <w:t xml:space="preserve"> air bubble craters, which are often present in dried acrylic paints. The fourth painting, Hoyland’s</w:t>
      </w:r>
      <w:r w:rsidRPr="00E460BD">
        <w:rPr>
          <w:i/>
          <w:lang w:val="en-GB"/>
        </w:rPr>
        <w:t>11.7.64</w:t>
      </w:r>
      <w:r>
        <w:rPr>
          <w:lang w:val="en-GB"/>
        </w:rPr>
        <w:t>, which to the best of our knowledge</w:t>
      </w:r>
      <w:r>
        <w:rPr>
          <w:rStyle w:val="Rimandonotaapidipagina"/>
          <w:lang w:val="en-GB"/>
        </w:rPr>
        <w:footnoteReference w:id="9"/>
      </w:r>
      <w:r>
        <w:rPr>
          <w:lang w:val="en-GB"/>
        </w:rPr>
        <w:t xml:space="preserve"> had not been </w:t>
      </w:r>
      <w:r w:rsidR="002616F0">
        <w:rPr>
          <w:lang w:val="en-GB"/>
        </w:rPr>
        <w:t>wet-</w:t>
      </w:r>
      <w:r>
        <w:rPr>
          <w:lang w:val="en-GB"/>
        </w:rPr>
        <w:t>cleaned</w:t>
      </w:r>
      <w:r w:rsidR="004B4C44">
        <w:rPr>
          <w:lang w:val="en-GB"/>
        </w:rPr>
        <w:t>,</w:t>
      </w:r>
      <w:r>
        <w:rPr>
          <w:lang w:val="en-GB"/>
        </w:rPr>
        <w:t xml:space="preserve"> also did not appear to have surfactants on the paint surface</w:t>
      </w:r>
      <w:r w:rsidR="004B4C44">
        <w:rPr>
          <w:lang w:val="en-GB"/>
        </w:rPr>
        <w:t>s</w:t>
      </w:r>
      <w:r>
        <w:rPr>
          <w:lang w:val="en-GB"/>
        </w:rPr>
        <w:t xml:space="preserve">, which may be an artefact of Hoyland’s well-known use of </w:t>
      </w:r>
      <w:r w:rsidR="004B4C44">
        <w:rPr>
          <w:lang w:val="en-GB"/>
        </w:rPr>
        <w:t xml:space="preserve">large </w:t>
      </w:r>
      <w:r>
        <w:rPr>
          <w:lang w:val="en-GB"/>
        </w:rPr>
        <w:t>quantities of water during the making of his paintings.</w:t>
      </w:r>
      <w:r>
        <w:rPr>
          <w:rStyle w:val="Rimandonotaapidipagina"/>
          <w:lang w:val="en-GB"/>
        </w:rPr>
        <w:footnoteReference w:id="10"/>
      </w:r>
      <w:r w:rsidR="002616F0">
        <w:rPr>
          <w:lang w:val="en-GB"/>
        </w:rPr>
        <w:t xml:space="preserve">At this stage we are still exploring the IR results and how these findings sit within the wider research into the effects of the ambient environment on the migration of surfactant in and out of acrylic paint films; which will form part of apaper </w:t>
      </w:r>
      <w:r w:rsidR="004B4C44">
        <w:rPr>
          <w:lang w:val="en-GB"/>
        </w:rPr>
        <w:t xml:space="preserve">destined </w:t>
      </w:r>
      <w:r w:rsidR="002616F0">
        <w:rPr>
          <w:lang w:val="en-GB"/>
        </w:rPr>
        <w:t>for the ICOM-CC triennial meeting in Beijing, China, in 2020.</w:t>
      </w:r>
      <w:r w:rsidR="002616F0">
        <w:rPr>
          <w:rStyle w:val="Rimandonotaapidipagina"/>
          <w:lang w:val="en-GB"/>
        </w:rPr>
        <w:footnoteReference w:id="11"/>
      </w:r>
    </w:p>
    <w:p w:rsidR="002616F0" w:rsidRDefault="005F6F3C" w:rsidP="0009148F">
      <w:pPr>
        <w:rPr>
          <w:lang w:val="en-GB"/>
        </w:rPr>
      </w:pPr>
      <w:r w:rsidRPr="005F6F3C">
        <w:rPr>
          <w:noProof/>
          <w:lang w:val="en-GB"/>
        </w:rPr>
        <w:pict>
          <v:shapetype id="_x0000_t202" coordsize="21600,21600" o:spt="202" path="m,l,21600r21600,l21600,xe">
            <v:stroke joinstyle="miter"/>
            <v:path gradientshapeok="t" o:connecttype="rect"/>
          </v:shapetype>
          <v:shape id="Text Box 2" o:spid="_x0000_s1027" type="#_x0000_t202" style="position:absolute;left:0;text-align:left;margin-left:204.95pt;margin-top:158.05pt;width:239.4pt;height:110.6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">
            <v:textbox style="mso-fit-shape-to-text:t">
              <w:txbxContent>
                <w:p w:rsidR="004B4C44" w:rsidRPr="00A96AB3" w:rsidRDefault="009362AF" w:rsidP="009362AF">
                  <w:pPr>
                    <w:jc w:val="left"/>
                    <w:rPr>
                      <w:rFonts w:asciiTheme="minorHAnsi" w:hAnsiTheme="minorHAnsi" w:cstheme="minorHAnsi"/>
                      <w:sz w:val="20"/>
                      <w:szCs w:val="20"/>
                      <w:lang w:val="en-GB"/>
                    </w:rPr>
                  </w:pPr>
                  <w:r w:rsidRPr="00A96AB3">
                    <w:rPr>
                      <w:rFonts w:asciiTheme="minorHAnsi" w:hAnsiTheme="minorHAnsi" w:cstheme="minorHAnsi"/>
                      <w:sz w:val="20"/>
                      <w:szCs w:val="20"/>
                      <w:lang w:val="en-GB"/>
                    </w:rPr>
                    <w:t xml:space="preserve">Left: Liberman’s </w:t>
                  </w:r>
                  <w:r w:rsidRPr="00A96AB3">
                    <w:rPr>
                      <w:rFonts w:asciiTheme="minorHAnsi" w:hAnsiTheme="minorHAnsi" w:cstheme="minorHAnsi"/>
                      <w:i/>
                      <w:sz w:val="20"/>
                      <w:szCs w:val="20"/>
                      <w:lang w:val="en-GB"/>
                    </w:rPr>
                    <w:t>Andromeda</w:t>
                  </w:r>
                  <w:r w:rsidRPr="00A96AB3">
                    <w:rPr>
                      <w:rFonts w:asciiTheme="minorHAnsi" w:hAnsiTheme="minorHAnsi" w:cstheme="minorHAnsi"/>
                      <w:sz w:val="20"/>
                      <w:szCs w:val="20"/>
                      <w:lang w:val="en-GB"/>
                    </w:rPr>
                    <w:t xml:space="preserve"> being analysed with MOLAB’s portable mid-IR system at Tate. </w:t>
                  </w:r>
                </w:p>
                <w:p w:rsidR="002616F0" w:rsidRPr="00A96AB3" w:rsidRDefault="009362AF" w:rsidP="009362AF">
                  <w:pPr>
                    <w:jc w:val="left"/>
                    <w:rPr>
                      <w:rFonts w:asciiTheme="minorHAnsi" w:hAnsiTheme="minorHAnsi" w:cstheme="minorHAnsi"/>
                      <w:sz w:val="20"/>
                      <w:szCs w:val="20"/>
                      <w:lang w:val="en-GB"/>
                    </w:rPr>
                  </w:pPr>
                  <w:r w:rsidRPr="00A96AB3">
                    <w:rPr>
                      <w:rFonts w:asciiTheme="minorHAnsi" w:hAnsiTheme="minorHAnsi" w:cstheme="minorHAnsi"/>
                      <w:sz w:val="20"/>
                      <w:szCs w:val="20"/>
                      <w:lang w:val="en-GB"/>
                    </w:rPr>
                    <w:t>Image Tate, 2019 © The Alexander Liberman Trust.</w:t>
                  </w:r>
                </w:p>
                <w:p w:rsidR="009362AF" w:rsidRPr="00A96AB3" w:rsidRDefault="009362AF" w:rsidP="009362AF">
                  <w:pPr>
                    <w:jc w:val="left"/>
                    <w:rPr>
                      <w:rFonts w:asciiTheme="minorHAnsi" w:hAnsiTheme="minorHAnsi" w:cstheme="minorHAnsi"/>
                      <w:sz w:val="20"/>
                      <w:szCs w:val="20"/>
                      <w:lang w:val="en-GB"/>
                    </w:rPr>
                  </w:pPr>
                </w:p>
                <w:p w:rsidR="004B4C44" w:rsidRPr="00A96AB3" w:rsidRDefault="009362AF" w:rsidP="009362AF">
                  <w:pPr>
                    <w:jc w:val="left"/>
                    <w:rPr>
                      <w:rFonts w:asciiTheme="minorHAnsi" w:hAnsiTheme="minorHAnsi" w:cstheme="minorHAnsi"/>
                      <w:sz w:val="20"/>
                      <w:szCs w:val="20"/>
                      <w:lang w:val="en-GB"/>
                    </w:rPr>
                  </w:pPr>
                  <w:r w:rsidRPr="00A96AB3">
                    <w:rPr>
                      <w:rFonts w:asciiTheme="minorHAnsi" w:hAnsiTheme="minorHAnsi" w:cstheme="minorHAnsi"/>
                      <w:sz w:val="20"/>
                      <w:szCs w:val="20"/>
                      <w:lang w:val="en-GB"/>
                    </w:rPr>
                    <w:t xml:space="preserve">Top-right: Dr Letizia Monaco of MOLAB, analysing Hoyland’s </w:t>
                  </w:r>
                  <w:r w:rsidRPr="00A96AB3">
                    <w:rPr>
                      <w:rFonts w:asciiTheme="minorHAnsi" w:hAnsiTheme="minorHAnsi" w:cstheme="minorHAnsi"/>
                      <w:i/>
                      <w:sz w:val="20"/>
                      <w:szCs w:val="20"/>
                      <w:lang w:val="en-GB"/>
                    </w:rPr>
                    <w:t>25.4.69</w:t>
                  </w:r>
                  <w:r w:rsidRPr="00A96AB3">
                    <w:rPr>
                      <w:rFonts w:asciiTheme="minorHAnsi" w:hAnsiTheme="minorHAnsi" w:cstheme="minorHAnsi"/>
                      <w:sz w:val="20"/>
                      <w:szCs w:val="20"/>
                      <w:lang w:val="en-GB"/>
                    </w:rPr>
                    <w:t>with MOLAB’s portable mid-IR system, exploring paint surface</w:t>
                  </w:r>
                  <w:r w:rsidR="004B4C44" w:rsidRPr="00A96AB3">
                    <w:rPr>
                      <w:rFonts w:asciiTheme="minorHAnsi" w:hAnsiTheme="minorHAnsi" w:cstheme="minorHAnsi"/>
                      <w:sz w:val="20"/>
                      <w:szCs w:val="20"/>
                      <w:lang w:val="en-GB"/>
                    </w:rPr>
                    <w:t>s</w:t>
                  </w:r>
                  <w:r w:rsidRPr="00A96AB3">
                    <w:rPr>
                      <w:rFonts w:asciiTheme="minorHAnsi" w:hAnsiTheme="minorHAnsi" w:cstheme="minorHAnsi"/>
                      <w:sz w:val="20"/>
                      <w:szCs w:val="20"/>
                      <w:lang w:val="en-GB"/>
                    </w:rPr>
                    <w:t xml:space="preserve"> for the re-emergence of surfactants</w:t>
                  </w:r>
                  <w:r w:rsidR="004B4C44" w:rsidRPr="00A96AB3">
                    <w:rPr>
                      <w:rFonts w:asciiTheme="minorHAnsi" w:hAnsiTheme="minorHAnsi" w:cstheme="minorHAnsi"/>
                      <w:sz w:val="20"/>
                      <w:szCs w:val="20"/>
                      <w:lang w:val="en-GB"/>
                    </w:rPr>
                    <w:t xml:space="preserve"> from the bulk paint fillm</w:t>
                  </w:r>
                  <w:r w:rsidRPr="00A96AB3">
                    <w:rPr>
                      <w:rFonts w:asciiTheme="minorHAnsi" w:hAnsiTheme="minorHAnsi" w:cstheme="minorHAnsi"/>
                      <w:sz w:val="20"/>
                      <w:szCs w:val="20"/>
                      <w:lang w:val="en-GB"/>
                    </w:rPr>
                    <w:t xml:space="preserve">. </w:t>
                  </w:r>
                </w:p>
                <w:p w:rsidR="009362AF" w:rsidRPr="00A96AB3" w:rsidRDefault="009362AF" w:rsidP="009362AF">
                  <w:pPr>
                    <w:jc w:val="left"/>
                    <w:rPr>
                      <w:rFonts w:asciiTheme="minorHAnsi" w:hAnsiTheme="minorHAnsi" w:cstheme="minorHAnsi"/>
                      <w:sz w:val="20"/>
                      <w:szCs w:val="20"/>
                      <w:lang w:val="en-GB"/>
                    </w:rPr>
                  </w:pPr>
                  <w:r w:rsidRPr="00A96AB3">
                    <w:rPr>
                      <w:rFonts w:asciiTheme="minorHAnsi" w:hAnsiTheme="minorHAnsi" w:cstheme="minorHAnsi"/>
                      <w:sz w:val="20"/>
                      <w:szCs w:val="20"/>
                      <w:lang w:val="en-GB"/>
                    </w:rPr>
                    <w:t>Image, Tate, 2019 © The John Hoyland Estate.</w:t>
                  </w:r>
                </w:p>
              </w:txbxContent>
            </v:textbox>
            <w10:wrap type="square"/>
          </v:shape>
        </w:pict>
      </w:r>
      <w:r w:rsidR="002616F0">
        <w:rPr>
          <w:noProof/>
          <w:lang w:eastAsia="it-IT"/>
        </w:rPr>
        <w:drawing>
          <wp:anchor distT="0" distB="0" distL="114300" distR="114300" simplePos="0" relativeHeight="251661312" behindDoc="0" locked="0" layoutInCell="1" allowOverlap="1">
            <wp:simplePos x="0" y="0"/>
            <wp:positionH relativeFrom="column">
              <wp:posOffset>2612390</wp:posOffset>
            </wp:positionH>
            <wp:positionV relativeFrom="paragraph">
              <wp:posOffset>187960</wp:posOffset>
            </wp:positionV>
            <wp:extent cx="3031067" cy="17049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001_152339_HDR 1.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31067" cy="1704975"/>
                    </a:xfrm>
                    <a:prstGeom prst="rect">
                      <a:avLst/>
                    </a:prstGeom>
                  </pic:spPr>
                </pic:pic>
              </a:graphicData>
            </a:graphic>
          </wp:anchor>
        </w:drawing>
      </w:r>
      <w:r w:rsidR="002616F0">
        <w:rPr>
          <w:noProof/>
          <w:lang w:eastAsia="it-IT"/>
        </w:rPr>
        <w:drawing>
          <wp:inline distT="0" distB="0" distL="0" distR="0">
            <wp:extent cx="3303585" cy="2477627"/>
            <wp:effectExtent l="0" t="6033" r="5398" b="539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5517.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5400000">
                      <a:off x="0" y="0"/>
                      <a:ext cx="3318319" cy="2488677"/>
                    </a:xfrm>
                    <a:prstGeom prst="rect">
                      <a:avLst/>
                    </a:prstGeom>
                  </pic:spPr>
                </pic:pic>
              </a:graphicData>
            </a:graphic>
          </wp:inline>
        </w:drawing>
      </w:r>
    </w:p>
    <w:sectPr w:rsidR="002616F0" w:rsidSect="0009148F">
      <w:headerReference w:type="default" r:id="rId10"/>
      <w:footerReference w:type="default" r:id="rId11"/>
      <w:pgSz w:w="11906" w:h="16838"/>
      <w:pgMar w:top="1417" w:right="991"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338" w:rsidRDefault="00721338" w:rsidP="0009148F">
      <w:r>
        <w:separator/>
      </w:r>
    </w:p>
  </w:endnote>
  <w:endnote w:type="continuationSeparator" w:id="1">
    <w:p w:rsidR="00721338" w:rsidRDefault="00721338" w:rsidP="000914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PS"/>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48F" w:rsidRDefault="005F6F3C" w:rsidP="0009148F">
    <w:pPr>
      <w:pStyle w:val="Pidipagina"/>
      <w:jc w:val="right"/>
      <w:rPr>
        <w:color w:val="365F91" w:themeColor="accent1" w:themeShade="BF"/>
        <w:lang w:val="en-US"/>
      </w:rPr>
    </w:pPr>
    <w:r w:rsidRPr="005F6F3C">
      <w:rPr>
        <w:noProof/>
        <w:color w:val="4F81BD" w:themeColor="accent1"/>
        <w:lang w:eastAsia="it-IT"/>
      </w:rPr>
      <w:pict>
        <v:rect id="Rettangolo 3" o:spid="_x0000_s4097" style="position:absolute;left:0;text-align:left;margin-left:372.3pt;margin-top:12pt;width:131.2pt;height:3.55pt;flip:y;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" fillcolor="#4f81bd [3204]" stroked="f" strokeweight="2pt"/>
      </w:pict>
    </w:r>
  </w:p>
  <w:p w:rsidR="0009148F" w:rsidRPr="00840887" w:rsidRDefault="0009148F" w:rsidP="0009148F">
    <w:pPr>
      <w:pStyle w:val="Pidipagina"/>
      <w:jc w:val="right"/>
      <w:rPr>
        <w:color w:val="365F91" w:themeColor="accent1" w:themeShade="BF"/>
        <w:lang w:val="en-US"/>
      </w:rPr>
    </w:pPr>
    <w:r w:rsidRPr="00840887">
      <w:rPr>
        <w:color w:val="365F91" w:themeColor="accent1" w:themeShade="BF"/>
        <w:lang w:val="en-US"/>
      </w:rPr>
      <w:t>website: www.iperionch.eu</w:t>
    </w:r>
  </w:p>
  <w:p w:rsidR="0009148F" w:rsidRPr="00840887" w:rsidRDefault="0009148F" w:rsidP="0009148F">
    <w:pPr>
      <w:pStyle w:val="Pidipagina"/>
      <w:jc w:val="right"/>
      <w:rPr>
        <w:color w:val="365F91" w:themeColor="accent1" w:themeShade="BF"/>
        <w:lang w:val="en-US"/>
      </w:rPr>
    </w:pPr>
    <w:r w:rsidRPr="00840887">
      <w:rPr>
        <w:color w:val="365F91" w:themeColor="accent1" w:themeShade="BF"/>
        <w:lang w:val="en-US"/>
      </w:rPr>
      <w:t>email: co@iperionch.</w:t>
    </w:r>
    <w:r w:rsidRPr="0009148F">
      <w:rPr>
        <w:color w:val="365F91" w:themeColor="accent1" w:themeShade="BF"/>
        <w:lang w:val="en-US"/>
      </w:rPr>
      <w:t>eu</w:t>
    </w:r>
  </w:p>
  <w:p w:rsidR="0009148F" w:rsidRPr="0009148F" w:rsidRDefault="0009148F">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338" w:rsidRDefault="00721338" w:rsidP="0009148F">
      <w:r>
        <w:separator/>
      </w:r>
    </w:p>
  </w:footnote>
  <w:footnote w:type="continuationSeparator" w:id="1">
    <w:p w:rsidR="00721338" w:rsidRDefault="00721338" w:rsidP="0009148F">
      <w:r>
        <w:continuationSeparator/>
      </w:r>
    </w:p>
  </w:footnote>
  <w:footnote w:id="2">
    <w:p w:rsidR="001710E1" w:rsidRPr="005F3545" w:rsidRDefault="001710E1">
      <w:pPr>
        <w:pStyle w:val="Testonotaapidipagina"/>
        <w:rPr>
          <w:rFonts w:asciiTheme="minorHAnsi" w:hAnsiTheme="minorHAnsi" w:cstheme="minorHAnsi"/>
          <w:lang w:val="en-GB"/>
        </w:rPr>
      </w:pPr>
      <w:r w:rsidRPr="005F3545">
        <w:rPr>
          <w:rStyle w:val="Rimandonotaapidipagina"/>
          <w:rFonts w:asciiTheme="minorHAnsi" w:hAnsiTheme="minorHAnsi" w:cstheme="minorHAnsi"/>
        </w:rPr>
        <w:footnoteRef/>
      </w:r>
      <w:r w:rsidR="00A8342A" w:rsidRPr="00C8712F">
        <w:rPr>
          <w:rFonts w:asciiTheme="minorHAnsi" w:hAnsiTheme="minorHAnsi" w:cstheme="minorHAnsi"/>
        </w:rPr>
        <w:t>https://www.tate.org.uk/art/artworks/liberman-andromeda-t00650</w:t>
      </w:r>
    </w:p>
  </w:footnote>
  <w:footnote w:id="3">
    <w:p w:rsidR="00A8342A" w:rsidRPr="005F3545" w:rsidRDefault="00A8342A">
      <w:pPr>
        <w:pStyle w:val="Testonotaapidipagina"/>
        <w:rPr>
          <w:rFonts w:asciiTheme="minorHAnsi" w:hAnsiTheme="minorHAnsi" w:cstheme="minorHAnsi"/>
          <w:lang w:val="en-GB"/>
        </w:rPr>
      </w:pPr>
      <w:r w:rsidRPr="005F3545">
        <w:rPr>
          <w:rStyle w:val="Rimandonotaapidipagina"/>
          <w:rFonts w:asciiTheme="minorHAnsi" w:hAnsiTheme="minorHAnsi" w:cstheme="minorHAnsi"/>
        </w:rPr>
        <w:footnoteRef/>
      </w:r>
      <w:r w:rsidRPr="00A96AB3">
        <w:rPr>
          <w:rFonts w:asciiTheme="minorHAnsi" w:hAnsiTheme="minorHAnsi" w:cstheme="minorHAnsi"/>
          <w:lang w:val="en-GB"/>
        </w:rPr>
        <w:t>https://www.tate.org.uk/art/artworks/moon-untitled-2-72-t02052</w:t>
      </w:r>
    </w:p>
  </w:footnote>
  <w:footnote w:id="4">
    <w:p w:rsidR="00A8342A" w:rsidRPr="005F3545" w:rsidRDefault="00A8342A">
      <w:pPr>
        <w:pStyle w:val="Testonotaapidipagina"/>
        <w:rPr>
          <w:rFonts w:asciiTheme="minorHAnsi" w:hAnsiTheme="minorHAnsi" w:cstheme="minorHAnsi"/>
          <w:lang w:val="en-GB"/>
        </w:rPr>
      </w:pPr>
      <w:r w:rsidRPr="005F3545">
        <w:rPr>
          <w:rStyle w:val="Rimandonotaapidipagina"/>
          <w:rFonts w:asciiTheme="minorHAnsi" w:hAnsiTheme="minorHAnsi" w:cstheme="minorHAnsi"/>
        </w:rPr>
        <w:footnoteRef/>
      </w:r>
      <w:r w:rsidRPr="00A96AB3">
        <w:rPr>
          <w:rFonts w:asciiTheme="minorHAnsi" w:hAnsiTheme="minorHAnsi" w:cstheme="minorHAnsi"/>
          <w:lang w:val="en-GB"/>
        </w:rPr>
        <w:t>https://www.tate.org.uk/art/artworks/hoyland-25-4-69-t01129</w:t>
      </w:r>
    </w:p>
  </w:footnote>
  <w:footnote w:id="5">
    <w:p w:rsidR="005F3545" w:rsidRPr="005F3545" w:rsidRDefault="005F3545">
      <w:pPr>
        <w:pStyle w:val="Testonotaapidipagina"/>
        <w:rPr>
          <w:rFonts w:asciiTheme="minorHAnsi" w:hAnsiTheme="minorHAnsi" w:cstheme="minorHAnsi"/>
          <w:lang w:val="en-GB"/>
        </w:rPr>
      </w:pPr>
      <w:r w:rsidRPr="005F3545">
        <w:rPr>
          <w:rStyle w:val="Rimandonotaapidipagina"/>
          <w:rFonts w:asciiTheme="minorHAnsi" w:hAnsiTheme="minorHAnsi" w:cstheme="minorHAnsi"/>
        </w:rPr>
        <w:footnoteRef/>
      </w:r>
      <w:r w:rsidRPr="00A96AB3">
        <w:rPr>
          <w:rFonts w:asciiTheme="minorHAnsi" w:hAnsiTheme="minorHAnsi" w:cstheme="minorHAnsi"/>
          <w:lang w:val="en-GB"/>
        </w:rPr>
        <w:t>https://www.tate.org.uk/about-us/projects/tate-axa-art-modern-paints-project-taampp</w:t>
      </w:r>
    </w:p>
  </w:footnote>
  <w:footnote w:id="6">
    <w:p w:rsidR="00A8342A" w:rsidRPr="005F3545" w:rsidRDefault="00A8342A">
      <w:pPr>
        <w:pStyle w:val="Testonotaapidipagina"/>
        <w:rPr>
          <w:rFonts w:asciiTheme="minorHAnsi" w:hAnsiTheme="minorHAnsi" w:cstheme="minorHAnsi"/>
          <w:lang w:val="en-GB"/>
        </w:rPr>
      </w:pPr>
      <w:r w:rsidRPr="005F3545">
        <w:rPr>
          <w:rStyle w:val="Rimandonotaapidipagina"/>
          <w:rFonts w:asciiTheme="minorHAnsi" w:hAnsiTheme="minorHAnsi" w:cstheme="minorHAnsi"/>
        </w:rPr>
        <w:footnoteRef/>
      </w:r>
      <w:r w:rsidRPr="00A96AB3">
        <w:rPr>
          <w:rFonts w:asciiTheme="minorHAnsi" w:hAnsiTheme="minorHAnsi" w:cstheme="minorHAnsi"/>
          <w:lang w:val="en-GB"/>
        </w:rPr>
        <w:t>https://www.tate.org.uk/art/artworks/hoyland-11-7-64-t14174</w:t>
      </w:r>
    </w:p>
  </w:footnote>
  <w:footnote w:id="7">
    <w:p w:rsidR="005F3545" w:rsidRPr="00A96AB3" w:rsidRDefault="005F3545" w:rsidP="005F3545">
      <w:pPr>
        <w:jc w:val="left"/>
        <w:rPr>
          <w:rFonts w:asciiTheme="minorHAnsi" w:hAnsiTheme="minorHAnsi" w:cstheme="minorHAnsi"/>
          <w:sz w:val="20"/>
          <w:szCs w:val="20"/>
          <w:lang w:val="en-GB"/>
        </w:rPr>
      </w:pPr>
      <w:r w:rsidRPr="005F3545">
        <w:rPr>
          <w:rStyle w:val="Rimandonotaapidipagina"/>
          <w:rFonts w:asciiTheme="minorHAnsi" w:hAnsiTheme="minorHAnsi" w:cstheme="minorHAnsi"/>
          <w:sz w:val="20"/>
          <w:szCs w:val="20"/>
        </w:rPr>
        <w:footnoteRef/>
      </w:r>
      <w:r w:rsidRPr="00A96AB3">
        <w:rPr>
          <w:rFonts w:asciiTheme="minorHAnsi" w:hAnsiTheme="minorHAnsi" w:cstheme="minorHAnsi"/>
          <w:sz w:val="20"/>
          <w:szCs w:val="20"/>
          <w:lang w:val="en-GB"/>
        </w:rPr>
        <w:t xml:space="preserve">Ormsby, B., Kampasakali, E., Miliani, C., and Learner, T. (2009). ‘An FTIR-Based Exploration of the Effects of Wet Cleaning Artists’ Acrylic Emulsion Paints’, in </w:t>
      </w:r>
      <w:r w:rsidRPr="00A96AB3">
        <w:rPr>
          <w:rFonts w:asciiTheme="minorHAnsi" w:hAnsiTheme="minorHAnsi" w:cstheme="minorHAnsi"/>
          <w:i/>
          <w:iCs/>
          <w:sz w:val="20"/>
          <w:szCs w:val="20"/>
          <w:lang w:val="en-GB"/>
        </w:rPr>
        <w:t>Infra-red and Raman Users’ Group Meeting (IRUG), Vienna, 2008, e-Preservation</w:t>
      </w:r>
      <w:r w:rsidRPr="00A96AB3">
        <w:rPr>
          <w:rFonts w:asciiTheme="minorHAnsi" w:hAnsiTheme="minorHAnsi" w:cstheme="minorHAnsi"/>
          <w:i/>
          <w:sz w:val="20"/>
          <w:szCs w:val="20"/>
          <w:lang w:val="en-GB"/>
        </w:rPr>
        <w:t xml:space="preserve"> S</w:t>
      </w:r>
      <w:r w:rsidRPr="00A96AB3">
        <w:rPr>
          <w:rFonts w:asciiTheme="minorHAnsi" w:hAnsiTheme="minorHAnsi" w:cstheme="minorHAnsi"/>
          <w:i/>
          <w:iCs/>
          <w:sz w:val="20"/>
          <w:szCs w:val="20"/>
          <w:lang w:val="en-GB"/>
        </w:rPr>
        <w:t xml:space="preserve">cience </w:t>
      </w:r>
      <w:r w:rsidRPr="00A96AB3">
        <w:rPr>
          <w:rFonts w:asciiTheme="minorHAnsi" w:hAnsiTheme="minorHAnsi" w:cstheme="minorHAnsi"/>
          <w:bCs/>
          <w:sz w:val="20"/>
          <w:szCs w:val="20"/>
          <w:lang w:val="en-GB"/>
        </w:rPr>
        <w:t>6</w:t>
      </w:r>
      <w:r w:rsidRPr="00A96AB3">
        <w:rPr>
          <w:rFonts w:asciiTheme="minorHAnsi" w:hAnsiTheme="minorHAnsi" w:cstheme="minorHAnsi"/>
          <w:sz w:val="20"/>
          <w:szCs w:val="20"/>
          <w:lang w:val="en-GB"/>
        </w:rPr>
        <w:t>, 186–195.</w:t>
      </w:r>
    </w:p>
  </w:footnote>
  <w:footnote w:id="8">
    <w:p w:rsidR="005F3545" w:rsidRPr="00A96AB3" w:rsidRDefault="005F3545" w:rsidP="005F3545">
      <w:pPr>
        <w:jc w:val="left"/>
        <w:rPr>
          <w:rFonts w:asciiTheme="minorHAnsi" w:hAnsiTheme="minorHAnsi" w:cstheme="minorHAnsi"/>
          <w:sz w:val="20"/>
          <w:szCs w:val="20"/>
          <w:lang w:val="en-GB"/>
        </w:rPr>
      </w:pPr>
      <w:r w:rsidRPr="005F3545">
        <w:rPr>
          <w:rStyle w:val="Rimandonotaapidipagina"/>
          <w:rFonts w:asciiTheme="minorHAnsi" w:hAnsiTheme="minorHAnsi" w:cstheme="minorHAnsi"/>
          <w:sz w:val="20"/>
          <w:szCs w:val="20"/>
        </w:rPr>
        <w:footnoteRef/>
      </w:r>
      <w:r w:rsidRPr="00A96AB3">
        <w:rPr>
          <w:rFonts w:asciiTheme="minorHAnsi" w:hAnsiTheme="minorHAnsi" w:cstheme="minorHAnsi"/>
          <w:sz w:val="20"/>
          <w:szCs w:val="20"/>
          <w:lang w:val="en-GB"/>
        </w:rPr>
        <w:t xml:space="preserve">Ormsby, B., Smithen, P, Hoogland, F, Learner, T and Miliani, C. (2008). ‘A scientific investigation into the surface cleaning of acrylic emulsion paintings’. </w:t>
      </w:r>
      <w:r w:rsidRPr="00A96AB3">
        <w:rPr>
          <w:rFonts w:asciiTheme="minorHAnsi" w:hAnsiTheme="minorHAnsi" w:cstheme="minorHAnsi"/>
          <w:i/>
          <w:sz w:val="20"/>
          <w:szCs w:val="20"/>
          <w:lang w:val="en-GB"/>
        </w:rPr>
        <w:t>Preprints ICOM Committee for Conservation</w:t>
      </w:r>
      <w:r w:rsidRPr="00A96AB3">
        <w:rPr>
          <w:rFonts w:asciiTheme="minorHAnsi" w:hAnsiTheme="minorHAnsi" w:cstheme="minorHAnsi"/>
          <w:sz w:val="20"/>
          <w:szCs w:val="20"/>
          <w:lang w:val="en-GB"/>
        </w:rPr>
        <w:t>. Triennial Conference, India, September 2008. Scientific Research, Vol. II, 857-865.</w:t>
      </w:r>
    </w:p>
    <w:p w:rsidR="005F3545" w:rsidRPr="005F3545" w:rsidRDefault="005F3545" w:rsidP="005F3545">
      <w:pPr>
        <w:pStyle w:val="Testonotaapidipagina"/>
        <w:rPr>
          <w:lang w:val="en-GB"/>
        </w:rPr>
      </w:pPr>
    </w:p>
  </w:footnote>
  <w:footnote w:id="9">
    <w:p w:rsidR="00E460BD" w:rsidRPr="002616F0" w:rsidRDefault="00E460BD">
      <w:pPr>
        <w:pStyle w:val="Testonotaapidipagina"/>
        <w:rPr>
          <w:rFonts w:asciiTheme="minorHAnsi" w:hAnsiTheme="minorHAnsi" w:cstheme="minorHAnsi"/>
          <w:lang w:val="en-GB"/>
        </w:rPr>
      </w:pPr>
      <w:r w:rsidRPr="002616F0">
        <w:rPr>
          <w:rStyle w:val="Rimandonotaapidipagina"/>
          <w:rFonts w:asciiTheme="minorHAnsi" w:hAnsiTheme="minorHAnsi" w:cstheme="minorHAnsi"/>
        </w:rPr>
        <w:footnoteRef/>
      </w:r>
      <w:r w:rsidRPr="002616F0">
        <w:rPr>
          <w:rFonts w:asciiTheme="minorHAnsi" w:hAnsiTheme="minorHAnsi" w:cstheme="minorHAnsi"/>
          <w:lang w:val="en-GB"/>
        </w:rPr>
        <w:t>We don’t have the full conservation history for this work prior to</w:t>
      </w:r>
      <w:r w:rsidR="002616F0" w:rsidRPr="002616F0">
        <w:rPr>
          <w:rFonts w:asciiTheme="minorHAnsi" w:hAnsiTheme="minorHAnsi" w:cstheme="minorHAnsi"/>
          <w:lang w:val="en-GB"/>
        </w:rPr>
        <w:t xml:space="preserve"> its</w:t>
      </w:r>
      <w:r w:rsidRPr="002616F0">
        <w:rPr>
          <w:rFonts w:asciiTheme="minorHAnsi" w:hAnsiTheme="minorHAnsi" w:cstheme="minorHAnsi"/>
          <w:lang w:val="en-GB"/>
        </w:rPr>
        <w:t xml:space="preserve"> acquisition in 2014.</w:t>
      </w:r>
    </w:p>
  </w:footnote>
  <w:footnote w:id="10">
    <w:p w:rsidR="00E460BD" w:rsidRPr="002616F0" w:rsidRDefault="00E460BD" w:rsidP="002616F0">
      <w:pPr>
        <w:jc w:val="left"/>
        <w:rPr>
          <w:rFonts w:asciiTheme="minorHAnsi" w:eastAsia="MS Mincho" w:hAnsiTheme="minorHAnsi" w:cstheme="minorHAnsi"/>
          <w:bCs/>
          <w:sz w:val="20"/>
          <w:szCs w:val="20"/>
          <w:lang w:val="sv-SE" w:eastAsia="ja-JP"/>
        </w:rPr>
      </w:pPr>
      <w:r w:rsidRPr="002616F0">
        <w:rPr>
          <w:rStyle w:val="Rimandonotaapidipagina"/>
          <w:rFonts w:asciiTheme="minorHAnsi" w:hAnsiTheme="minorHAnsi" w:cstheme="minorHAnsi"/>
          <w:sz w:val="20"/>
          <w:szCs w:val="20"/>
        </w:rPr>
        <w:footnoteRef/>
      </w:r>
      <w:r w:rsidRPr="00A96AB3">
        <w:rPr>
          <w:rFonts w:asciiTheme="minorHAnsi" w:eastAsia="MS Mincho" w:hAnsiTheme="minorHAnsi" w:cstheme="minorHAnsi"/>
          <w:sz w:val="20"/>
          <w:szCs w:val="20"/>
          <w:lang w:val="en-GB"/>
        </w:rPr>
        <w:t>Ormsby, B., Learner, T., Crook, J., and P. Smithen. (2014). ‘</w:t>
      </w:r>
      <w:r w:rsidRPr="00A96AB3">
        <w:rPr>
          <w:rFonts w:asciiTheme="minorHAnsi" w:hAnsiTheme="minorHAnsi" w:cstheme="minorHAnsi"/>
          <w:sz w:val="20"/>
          <w:szCs w:val="20"/>
          <w:lang w:val="en-GB"/>
        </w:rPr>
        <w:t xml:space="preserve">John Hoyland: A British Master of Acrylic Painting’. </w:t>
      </w:r>
      <w:r w:rsidRPr="002616F0">
        <w:rPr>
          <w:rFonts w:asciiTheme="minorHAnsi" w:hAnsiTheme="minorHAnsi" w:cstheme="minorHAnsi"/>
          <w:sz w:val="20"/>
          <w:szCs w:val="20"/>
        </w:rPr>
        <w:t xml:space="preserve">In </w:t>
      </w:r>
      <w:r w:rsidRPr="002616F0">
        <w:rPr>
          <w:rFonts w:asciiTheme="minorHAnsi" w:hAnsiTheme="minorHAnsi" w:cstheme="minorHAnsi"/>
          <w:sz w:val="20"/>
          <w:szCs w:val="20"/>
          <w:u w:val="single"/>
        </w:rPr>
        <w:t>Science and Art: The Painted Surface.</w:t>
      </w:r>
      <w:r w:rsidRPr="002616F0">
        <w:rPr>
          <w:rFonts w:asciiTheme="minorHAnsi" w:hAnsiTheme="minorHAnsi" w:cstheme="minorHAnsi"/>
          <w:sz w:val="20"/>
          <w:szCs w:val="20"/>
        </w:rPr>
        <w:t xml:space="preserve"> Antonio Sgamellotti (Editor), Brunetto Giovanni Brunetti (Editor), Costanza Miliani (Editor). </w:t>
      </w:r>
      <w:r w:rsidRPr="00A96AB3">
        <w:rPr>
          <w:rFonts w:asciiTheme="minorHAnsi" w:hAnsiTheme="minorHAnsi" w:cstheme="minorHAnsi"/>
          <w:sz w:val="20"/>
          <w:szCs w:val="20"/>
          <w:lang w:val="en-GB"/>
        </w:rPr>
        <w:t xml:space="preserve">RSC Publishing, London. </w:t>
      </w:r>
      <w:r w:rsidRPr="00A96AB3">
        <w:rPr>
          <w:rFonts w:asciiTheme="minorHAnsi" w:hAnsiTheme="minorHAnsi" w:cstheme="minorHAnsi"/>
          <w:bCs/>
          <w:sz w:val="20"/>
          <w:szCs w:val="20"/>
          <w:lang w:val="en-GB"/>
        </w:rPr>
        <w:t xml:space="preserve">ISBN: </w:t>
      </w:r>
      <w:r w:rsidRPr="00A96AB3">
        <w:rPr>
          <w:rFonts w:asciiTheme="minorHAnsi" w:hAnsiTheme="minorHAnsi" w:cstheme="minorHAnsi"/>
          <w:sz w:val="20"/>
          <w:szCs w:val="20"/>
          <w:lang w:val="en-GB"/>
        </w:rPr>
        <w:t>978-1-84973-818-7, 522-545.</w:t>
      </w:r>
    </w:p>
  </w:footnote>
  <w:footnote w:id="11">
    <w:p w:rsidR="002616F0" w:rsidRPr="002616F0" w:rsidRDefault="002616F0" w:rsidP="002616F0">
      <w:pPr>
        <w:rPr>
          <w:rFonts w:asciiTheme="minorHAnsi" w:hAnsiTheme="minorHAnsi" w:cstheme="minorHAnsi"/>
          <w:sz w:val="20"/>
          <w:szCs w:val="20"/>
        </w:rPr>
      </w:pPr>
      <w:r w:rsidRPr="002616F0">
        <w:rPr>
          <w:rStyle w:val="Rimandonotaapidipagina"/>
          <w:rFonts w:asciiTheme="minorHAnsi" w:hAnsiTheme="minorHAnsi" w:cstheme="minorHAnsi"/>
          <w:sz w:val="20"/>
          <w:szCs w:val="20"/>
        </w:rPr>
        <w:footnoteRef/>
      </w:r>
      <w:r w:rsidRPr="00A96AB3">
        <w:rPr>
          <w:rFonts w:asciiTheme="minorHAnsi" w:hAnsiTheme="minorHAnsi" w:cstheme="minorHAnsi"/>
          <w:sz w:val="20"/>
          <w:szCs w:val="20"/>
          <w:lang w:val="en-GB"/>
        </w:rPr>
        <w:t xml:space="preserve">Ormsby, B,. Lundsbakken, O., Lee, J., Bartoletti, A., Monaco, L., and Miliani, C. (2020). </w:t>
      </w:r>
      <w:bookmarkStart w:id="1" w:name="_Hlk20482330"/>
      <w:bookmarkEnd w:id="1"/>
      <w:r w:rsidRPr="00A96AB3">
        <w:rPr>
          <w:rFonts w:asciiTheme="minorHAnsi" w:hAnsiTheme="minorHAnsi" w:cstheme="minorHAnsi"/>
          <w:sz w:val="20"/>
          <w:szCs w:val="20"/>
          <w:lang w:val="en-GB"/>
        </w:rPr>
        <w:t xml:space="preserve">‘Revisiting cleaned acrylic emulsion painting surfaces 10 years on: observations and implications.’ </w:t>
      </w:r>
      <w:r w:rsidRPr="002616F0">
        <w:rPr>
          <w:rFonts w:asciiTheme="minorHAnsi" w:hAnsiTheme="minorHAnsi" w:cstheme="minorHAnsi"/>
          <w:sz w:val="20"/>
          <w:szCs w:val="20"/>
        </w:rPr>
        <w:t xml:space="preserve">ICOM-CC </w:t>
      </w:r>
      <w:r>
        <w:rPr>
          <w:rFonts w:asciiTheme="minorHAnsi" w:hAnsiTheme="minorHAnsi" w:cstheme="minorHAnsi"/>
          <w:sz w:val="20"/>
          <w:szCs w:val="20"/>
        </w:rPr>
        <w:t>T</w:t>
      </w:r>
      <w:r w:rsidRPr="002616F0">
        <w:rPr>
          <w:rFonts w:asciiTheme="minorHAnsi" w:hAnsiTheme="minorHAnsi" w:cstheme="minorHAnsi"/>
          <w:sz w:val="20"/>
          <w:szCs w:val="20"/>
        </w:rPr>
        <w:t xml:space="preserve">riennial </w:t>
      </w:r>
      <w:r>
        <w:rPr>
          <w:rFonts w:asciiTheme="minorHAnsi" w:hAnsiTheme="minorHAnsi" w:cstheme="minorHAnsi"/>
          <w:sz w:val="20"/>
          <w:szCs w:val="20"/>
        </w:rPr>
        <w:t>Conference</w:t>
      </w:r>
      <w:r w:rsidRPr="002616F0">
        <w:rPr>
          <w:rFonts w:asciiTheme="minorHAnsi" w:hAnsiTheme="minorHAnsi" w:cstheme="minorHAnsi"/>
          <w:sz w:val="20"/>
          <w:szCs w:val="20"/>
        </w:rPr>
        <w:t xml:space="preserve">, </w:t>
      </w:r>
      <w:r>
        <w:rPr>
          <w:rFonts w:asciiTheme="minorHAnsi" w:hAnsiTheme="minorHAnsi" w:cstheme="minorHAnsi"/>
          <w:sz w:val="20"/>
          <w:szCs w:val="20"/>
        </w:rPr>
        <w:t>S</w:t>
      </w:r>
      <w:r w:rsidRPr="002616F0">
        <w:rPr>
          <w:rFonts w:asciiTheme="minorHAnsi" w:hAnsiTheme="minorHAnsi" w:cstheme="minorHAnsi"/>
          <w:sz w:val="20"/>
          <w:szCs w:val="20"/>
        </w:rPr>
        <w:t>eptember 2020.</w:t>
      </w:r>
    </w:p>
    <w:p w:rsidR="002616F0" w:rsidRPr="002616F0" w:rsidRDefault="002616F0">
      <w:pPr>
        <w:pStyle w:val="Testonotaapidipagina"/>
        <w:rPr>
          <w:lang w:val="en-GB"/>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48F" w:rsidRDefault="0009148F" w:rsidP="0009148F">
    <w:pPr>
      <w:pStyle w:val="Pidipagina"/>
      <w:tabs>
        <w:tab w:val="clear" w:pos="9638"/>
        <w:tab w:val="right" w:pos="8222"/>
      </w:tabs>
      <w:rPr>
        <w:rFonts w:ascii="Book Antiqua" w:eastAsia="+mn-ea" w:hAnsi="Book Antiqua" w:cs="+mn-cs"/>
        <w:b/>
        <w:bCs/>
        <w:color w:val="638CAE"/>
        <w:kern w:val="24"/>
        <w:szCs w:val="56"/>
      </w:rPr>
    </w:pPr>
    <w:r>
      <w:rPr>
        <w:rFonts w:ascii="Book Antiqua" w:eastAsia="+mn-ea" w:hAnsi="Book Antiqua" w:cs="+mn-cs"/>
        <w:b/>
        <w:bCs/>
        <w:noProof/>
        <w:color w:val="638CAE"/>
        <w:kern w:val="24"/>
        <w:szCs w:val="56"/>
        <w:lang w:eastAsia="it-IT"/>
      </w:rPr>
      <w:drawing>
        <wp:inline distT="0" distB="0" distL="0" distR="0">
          <wp:extent cx="1991753" cy="42433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ERION CH Logo con test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96280" cy="425294"/>
                  </a:xfrm>
                  <a:prstGeom prst="rect">
                    <a:avLst/>
                  </a:prstGeom>
                </pic:spPr>
              </pic:pic>
            </a:graphicData>
          </a:graphic>
        </wp:inline>
      </w:drawing>
    </w:r>
  </w:p>
  <w:p w:rsidR="0009148F" w:rsidRDefault="0009148F" w:rsidP="0009148F">
    <w:pPr>
      <w:pStyle w:val="Pidipagina"/>
      <w:tabs>
        <w:tab w:val="clear" w:pos="9638"/>
        <w:tab w:val="right" w:pos="8222"/>
      </w:tabs>
      <w:rPr>
        <w:rFonts w:ascii="Book Antiqua" w:eastAsia="+mn-ea" w:hAnsi="Book Antiqua" w:cs="+mn-cs"/>
        <w:bCs/>
        <w:color w:val="638CAE"/>
        <w:kern w:val="24"/>
        <w:sz w:val="22"/>
        <w:lang w:val="en-US"/>
      </w:rPr>
    </w:pPr>
    <w:r w:rsidRPr="0009148F">
      <w:rPr>
        <w:rFonts w:ascii="Book Antiqua" w:eastAsia="+mn-ea" w:hAnsi="Book Antiqua" w:cs="+mn-cs"/>
        <w:b/>
        <w:bCs/>
        <w:color w:val="638CAE"/>
        <w:kern w:val="24"/>
        <w:sz w:val="22"/>
        <w:lang w:val="en-US"/>
      </w:rPr>
      <w:t>IPERI</w:t>
    </w:r>
    <w:r w:rsidRPr="0009148F">
      <w:rPr>
        <w:rFonts w:ascii="Book Antiqua" w:eastAsia="+mn-ea" w:hAnsi="Book Antiqua" w:cs="+mn-cs"/>
        <w:b/>
        <w:bCs/>
        <w:color w:val="595959"/>
        <w:kern w:val="24"/>
        <w:sz w:val="22"/>
        <w:lang w:val="en-US"/>
      </w:rPr>
      <w:t>ON</w:t>
    </w:r>
    <w:r w:rsidRPr="0009148F">
      <w:rPr>
        <w:rFonts w:ascii="Book Antiqua" w:eastAsia="+mn-ea" w:hAnsi="Book Antiqua" w:cs="+mn-cs"/>
        <w:b/>
        <w:bCs/>
        <w:color w:val="638CAE"/>
        <w:kern w:val="24"/>
        <w:sz w:val="22"/>
        <w:lang w:val="en-US"/>
      </w:rPr>
      <w:t xml:space="preserve"> CH </w:t>
    </w:r>
    <w:r w:rsidRPr="0009148F">
      <w:rPr>
        <w:rFonts w:ascii="Book Antiqua" w:eastAsia="+mn-ea" w:hAnsi="Book Antiqua" w:cs="+mn-cs"/>
        <w:bCs/>
        <w:color w:val="638CAE"/>
        <w:kern w:val="24"/>
        <w:sz w:val="22"/>
        <w:lang w:val="en-US"/>
      </w:rPr>
      <w:t xml:space="preserve">– Integrated Project for the European Research Infrastructure </w:t>
    </w:r>
    <w:r w:rsidRPr="0009148F">
      <w:rPr>
        <w:rFonts w:ascii="Book Antiqua" w:eastAsia="+mn-ea" w:hAnsi="Book Antiqua" w:cs="+mn-cs"/>
        <w:bCs/>
        <w:color w:val="595959"/>
        <w:kern w:val="24"/>
        <w:sz w:val="22"/>
        <w:lang w:val="en-US"/>
      </w:rPr>
      <w:t xml:space="preserve">ON </w:t>
    </w:r>
    <w:r w:rsidRPr="0009148F">
      <w:rPr>
        <w:rFonts w:ascii="Book Antiqua" w:eastAsia="+mn-ea" w:hAnsi="Book Antiqua" w:cs="+mn-cs"/>
        <w:bCs/>
        <w:color w:val="638CAE"/>
        <w:kern w:val="24"/>
        <w:sz w:val="22"/>
        <w:lang w:val="en-US"/>
      </w:rPr>
      <w:t>Cultural Heritage</w:t>
    </w:r>
  </w:p>
  <w:p w:rsidR="00E76EB2" w:rsidRDefault="00E76EB2" w:rsidP="0009148F">
    <w:pPr>
      <w:pStyle w:val="Pidipagina"/>
      <w:tabs>
        <w:tab w:val="clear" w:pos="9638"/>
        <w:tab w:val="right" w:pos="8222"/>
      </w:tabs>
      <w:rPr>
        <w:rFonts w:ascii="Book Antiqua" w:eastAsia="+mn-ea" w:hAnsi="Book Antiqua" w:cs="+mn-cs"/>
        <w:bCs/>
        <w:color w:val="638CAE"/>
        <w:kern w:val="24"/>
        <w:sz w:val="22"/>
        <w:lang w:val="en-US"/>
      </w:rPr>
    </w:pPr>
  </w:p>
  <w:p w:rsidR="00E76EB2" w:rsidRPr="00E76EB2" w:rsidRDefault="00E76EB2" w:rsidP="00E76EB2">
    <w:pPr>
      <w:pStyle w:val="Pidipagina"/>
      <w:tabs>
        <w:tab w:val="clear" w:pos="9638"/>
        <w:tab w:val="right" w:pos="8222"/>
      </w:tabs>
      <w:jc w:val="center"/>
      <w:rPr>
        <w:b/>
        <w:sz w:val="22"/>
        <w:lang w:val="en-US"/>
      </w:rPr>
    </w:pPr>
    <w:r w:rsidRPr="00E76EB2">
      <w:rPr>
        <w:rFonts w:ascii="Book Antiqua" w:eastAsia="+mn-ea" w:hAnsi="Book Antiqua" w:cs="+mn-cs"/>
        <w:b/>
        <w:bCs/>
        <w:color w:val="638CAE"/>
        <w:kern w:val="24"/>
        <w:sz w:val="22"/>
        <w:lang w:val="en-US"/>
      </w:rPr>
      <w:t>MOLAB Access</w:t>
    </w:r>
  </w:p>
  <w:p w:rsidR="0009148F" w:rsidRPr="0009148F" w:rsidRDefault="0009148F" w:rsidP="0009148F">
    <w:pPr>
      <w:pStyle w:val="Intestazione"/>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511B9"/>
    <w:multiLevelType w:val="hybridMultilevel"/>
    <w:tmpl w:val="DC9CD450"/>
    <w:lvl w:ilvl="0" w:tplc="A45AB5B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A04D84"/>
    <w:multiLevelType w:val="hybridMultilevel"/>
    <w:tmpl w:val="BADE8C8A"/>
    <w:lvl w:ilvl="0" w:tplc="FDEAA192">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09148F"/>
    <w:rsid w:val="0002030B"/>
    <w:rsid w:val="00073663"/>
    <w:rsid w:val="0009148F"/>
    <w:rsid w:val="001710E1"/>
    <w:rsid w:val="002616F0"/>
    <w:rsid w:val="002B1937"/>
    <w:rsid w:val="002F58D7"/>
    <w:rsid w:val="00364654"/>
    <w:rsid w:val="003A03BB"/>
    <w:rsid w:val="003D4E0F"/>
    <w:rsid w:val="00446C10"/>
    <w:rsid w:val="004B4C44"/>
    <w:rsid w:val="004F1DCF"/>
    <w:rsid w:val="005F3545"/>
    <w:rsid w:val="005F6F3C"/>
    <w:rsid w:val="00683D42"/>
    <w:rsid w:val="006E7DFD"/>
    <w:rsid w:val="00721338"/>
    <w:rsid w:val="007B2E41"/>
    <w:rsid w:val="007C34C0"/>
    <w:rsid w:val="008B0A65"/>
    <w:rsid w:val="009362AF"/>
    <w:rsid w:val="00987408"/>
    <w:rsid w:val="00A62F11"/>
    <w:rsid w:val="00A8342A"/>
    <w:rsid w:val="00A96AB3"/>
    <w:rsid w:val="00AD4EAD"/>
    <w:rsid w:val="00BE0754"/>
    <w:rsid w:val="00C4275D"/>
    <w:rsid w:val="00C55E59"/>
    <w:rsid w:val="00C64535"/>
    <w:rsid w:val="00C8712F"/>
    <w:rsid w:val="00DA2074"/>
    <w:rsid w:val="00E460BD"/>
    <w:rsid w:val="00E76EB2"/>
    <w:rsid w:val="00F172DE"/>
    <w:rsid w:val="00FD3460"/>
    <w:rsid w:val="00FF2C5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275D"/>
    <w:pPr>
      <w:spacing w:after="0" w:line="240" w:lineRule="auto"/>
      <w:jc w:val="both"/>
    </w:pPr>
    <w:rPr>
      <w:rFonts w:ascii="Times New Roman" w:hAnsi="Times New Roman"/>
      <w:sz w:val="24"/>
    </w:rPr>
  </w:style>
  <w:style w:type="paragraph" w:styleId="Titolo1">
    <w:name w:val="heading 1"/>
    <w:basedOn w:val="Normale"/>
    <w:next w:val="Normale"/>
    <w:link w:val="Titolo1Carattere"/>
    <w:autoRedefine/>
    <w:uiPriority w:val="9"/>
    <w:qFormat/>
    <w:rsid w:val="007B2E41"/>
    <w:pPr>
      <w:keepNext/>
      <w:keepLines/>
      <w:spacing w:before="480"/>
      <w:outlineLvl w:val="0"/>
    </w:pPr>
    <w:rPr>
      <w:rFonts w:eastAsiaTheme="majorEastAsia" w:cstheme="majorBidi"/>
      <w:b/>
      <w:bCs/>
      <w:color w:val="000000" w:themeColor="text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B2E41"/>
    <w:rPr>
      <w:rFonts w:ascii="Times New Roman" w:eastAsiaTheme="majorEastAsia" w:hAnsi="Times New Roman" w:cstheme="majorBidi"/>
      <w:b/>
      <w:bCs/>
      <w:color w:val="000000" w:themeColor="text1"/>
      <w:sz w:val="28"/>
      <w:szCs w:val="28"/>
    </w:rPr>
  </w:style>
  <w:style w:type="paragraph" w:styleId="Intestazione">
    <w:name w:val="header"/>
    <w:basedOn w:val="Normale"/>
    <w:link w:val="IntestazioneCarattere"/>
    <w:uiPriority w:val="99"/>
    <w:unhideWhenUsed/>
    <w:rsid w:val="0009148F"/>
    <w:pPr>
      <w:tabs>
        <w:tab w:val="center" w:pos="4819"/>
        <w:tab w:val="right" w:pos="9638"/>
      </w:tabs>
    </w:pPr>
  </w:style>
  <w:style w:type="character" w:customStyle="1" w:styleId="IntestazioneCarattere">
    <w:name w:val="Intestazione Carattere"/>
    <w:basedOn w:val="Carpredefinitoparagrafo"/>
    <w:link w:val="Intestazione"/>
    <w:uiPriority w:val="99"/>
    <w:rsid w:val="0009148F"/>
    <w:rPr>
      <w:rFonts w:ascii="Times New Roman" w:hAnsi="Times New Roman"/>
      <w:sz w:val="24"/>
    </w:rPr>
  </w:style>
  <w:style w:type="paragraph" w:styleId="Pidipagina">
    <w:name w:val="footer"/>
    <w:basedOn w:val="Normale"/>
    <w:link w:val="PidipaginaCarattere"/>
    <w:uiPriority w:val="99"/>
    <w:unhideWhenUsed/>
    <w:rsid w:val="0009148F"/>
    <w:pPr>
      <w:tabs>
        <w:tab w:val="center" w:pos="4819"/>
        <w:tab w:val="right" w:pos="9638"/>
      </w:tabs>
    </w:pPr>
  </w:style>
  <w:style w:type="character" w:customStyle="1" w:styleId="PidipaginaCarattere">
    <w:name w:val="Piè di pagina Carattere"/>
    <w:basedOn w:val="Carpredefinitoparagrafo"/>
    <w:link w:val="Pidipagina"/>
    <w:uiPriority w:val="99"/>
    <w:rsid w:val="0009148F"/>
    <w:rPr>
      <w:rFonts w:ascii="Times New Roman" w:hAnsi="Times New Roman"/>
      <w:sz w:val="24"/>
    </w:rPr>
  </w:style>
  <w:style w:type="paragraph" w:styleId="Testofumetto">
    <w:name w:val="Balloon Text"/>
    <w:basedOn w:val="Normale"/>
    <w:link w:val="TestofumettoCarattere"/>
    <w:uiPriority w:val="99"/>
    <w:semiHidden/>
    <w:unhideWhenUsed/>
    <w:rsid w:val="000914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48F"/>
    <w:rPr>
      <w:rFonts w:ascii="Tahoma" w:hAnsi="Tahoma" w:cs="Tahoma"/>
      <w:sz w:val="16"/>
      <w:szCs w:val="16"/>
    </w:rPr>
  </w:style>
  <w:style w:type="paragraph" w:styleId="Paragrafoelenco">
    <w:name w:val="List Paragraph"/>
    <w:basedOn w:val="Normale"/>
    <w:uiPriority w:val="34"/>
    <w:qFormat/>
    <w:rsid w:val="00683D42"/>
    <w:pPr>
      <w:spacing w:after="200" w:line="276" w:lineRule="auto"/>
      <w:ind w:left="720"/>
      <w:contextualSpacing/>
      <w:jc w:val="left"/>
    </w:pPr>
    <w:rPr>
      <w:rFonts w:asciiTheme="minorHAnsi" w:hAnsiTheme="minorHAnsi"/>
      <w:sz w:val="22"/>
      <w:lang w:val="en-US"/>
    </w:rPr>
  </w:style>
  <w:style w:type="paragraph" w:styleId="Testonotaapidipagina">
    <w:name w:val="footnote text"/>
    <w:basedOn w:val="Normale"/>
    <w:link w:val="TestonotaapidipaginaCarattere"/>
    <w:uiPriority w:val="99"/>
    <w:semiHidden/>
    <w:unhideWhenUsed/>
    <w:rsid w:val="001710E1"/>
    <w:rPr>
      <w:sz w:val="20"/>
      <w:szCs w:val="20"/>
    </w:rPr>
  </w:style>
  <w:style w:type="character" w:customStyle="1" w:styleId="TestonotaapidipaginaCarattere">
    <w:name w:val="Testo nota a piè di pagina Carattere"/>
    <w:basedOn w:val="Carpredefinitoparagrafo"/>
    <w:link w:val="Testonotaapidipagina"/>
    <w:uiPriority w:val="99"/>
    <w:semiHidden/>
    <w:rsid w:val="001710E1"/>
    <w:rPr>
      <w:rFonts w:ascii="Times New Roman" w:hAnsi="Times New Roman"/>
      <w:sz w:val="20"/>
      <w:szCs w:val="20"/>
    </w:rPr>
  </w:style>
  <w:style w:type="character" w:styleId="Rimandonotaapidipagina">
    <w:name w:val="footnote reference"/>
    <w:basedOn w:val="Carpredefinitoparagrafo"/>
    <w:uiPriority w:val="99"/>
    <w:semiHidden/>
    <w:unhideWhenUsed/>
    <w:rsid w:val="001710E1"/>
    <w:rPr>
      <w:vertAlign w:val="superscript"/>
    </w:rPr>
  </w:style>
  <w:style w:type="character" w:styleId="Collegamentoipertestuale">
    <w:name w:val="Hyperlink"/>
    <w:basedOn w:val="Carpredefinitoparagrafo"/>
    <w:uiPriority w:val="99"/>
    <w:semiHidden/>
    <w:unhideWhenUsed/>
    <w:rsid w:val="00A8342A"/>
    <w:rPr>
      <w:color w:val="0000FF"/>
      <w:u w:val="single"/>
    </w:rPr>
  </w:style>
  <w:style w:type="character" w:styleId="Rimandocommento">
    <w:name w:val="annotation reference"/>
    <w:basedOn w:val="Carpredefinitoparagrafo"/>
    <w:uiPriority w:val="99"/>
    <w:semiHidden/>
    <w:unhideWhenUsed/>
    <w:rsid w:val="002616F0"/>
    <w:rPr>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6497C-75AA-4725-AEA6-045ED4669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566</Words>
  <Characters>3230</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LauraB</dc:creator>
  <cp:lastModifiedBy>Brenda D.</cp:lastModifiedBy>
  <cp:revision>7</cp:revision>
  <cp:lastPrinted>2016-03-04T08:38:00Z</cp:lastPrinted>
  <dcterms:created xsi:type="dcterms:W3CDTF">2019-10-07T16:39:00Z</dcterms:created>
  <dcterms:modified xsi:type="dcterms:W3CDTF">2019-10-11T07:14:00Z</dcterms:modified>
</cp:coreProperties>
</file>